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320"/>
        <w:gridCol w:w="630"/>
        <w:gridCol w:w="2610"/>
        <w:gridCol w:w="1800"/>
      </w:tblGrid>
      <w:tr w:rsidR="00B07D2F" w:rsidRPr="00D27DF3" w14:paraId="2DF690F9" w14:textId="77777777" w:rsidTr="00794959"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0E0E0"/>
          </w:tcPr>
          <w:p w14:paraId="1CDE3029" w14:textId="77777777" w:rsidR="00B07D2F" w:rsidRPr="00D27DF3" w:rsidRDefault="00B07D2F" w:rsidP="00794959">
            <w:pPr>
              <w:rPr>
                <w:rFonts w:ascii="Arial Narrow" w:hAnsi="Arial Narrow" w:cs="Arial"/>
                <w:color w:val="FF6600"/>
                <w:sz w:val="20"/>
                <w:szCs w:val="20"/>
              </w:rPr>
            </w:pPr>
          </w:p>
          <w:p w14:paraId="12EA4D8B" w14:textId="77777777" w:rsidR="00B07D2F" w:rsidRPr="00D27DF3" w:rsidRDefault="00B07D2F" w:rsidP="00794959">
            <w:pPr>
              <w:rPr>
                <w:rFonts w:ascii="Arial Narrow" w:hAnsi="Arial Narrow" w:cs="Arial"/>
                <w:color w:val="FF6600"/>
                <w:sz w:val="20"/>
                <w:szCs w:val="20"/>
              </w:rPr>
            </w:pPr>
            <w:r w:rsidRPr="003F6B4C">
              <w:rPr>
                <w:rFonts w:ascii="Arial Narrow" w:hAnsi="Arial Narrow" w:cs="Arial"/>
                <w:noProof/>
                <w:color w:val="FF6600"/>
                <w:sz w:val="20"/>
                <w:szCs w:val="20"/>
              </w:rPr>
              <w:drawing>
                <wp:inline distT="0" distB="0" distL="0" distR="0" wp14:anchorId="3FA27B21" wp14:editId="575A78BA">
                  <wp:extent cx="370205" cy="762635"/>
                  <wp:effectExtent l="0" t="0" r="0" b="0"/>
                  <wp:docPr id="1" name="Picture 1" descr="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nil"/>
            </w:tcBorders>
            <w:shd w:val="clear" w:color="auto" w:fill="E0E0E0"/>
          </w:tcPr>
          <w:p w14:paraId="41AD8D43" w14:textId="77777777" w:rsidR="00B07D2F" w:rsidRPr="000E6AF6" w:rsidRDefault="00B07D2F" w:rsidP="00794959">
            <w:pPr>
              <w:rPr>
                <w:rFonts w:ascii="Arial Narrow" w:hAnsi="Arial Narrow" w:cs="Arial"/>
                <w:b/>
                <w:bCs/>
                <w:color w:val="FF6600"/>
                <w:sz w:val="20"/>
                <w:szCs w:val="20"/>
              </w:rPr>
            </w:pPr>
          </w:p>
          <w:p w14:paraId="3A110CEC" w14:textId="77777777" w:rsidR="00B07D2F" w:rsidRPr="000E6AF6" w:rsidRDefault="00B07D2F" w:rsidP="00794959">
            <w:pP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0E6AF6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United Nations Development Programme</w:t>
            </w:r>
          </w:p>
          <w:p w14:paraId="3B297B72" w14:textId="77777777" w:rsidR="00B07D2F" w:rsidRPr="000E6AF6" w:rsidRDefault="00B07D2F" w:rsidP="00794959">
            <w:pPr>
              <w:rPr>
                <w:rFonts w:ascii="Arial Narrow" w:hAnsi="Arial Narrow" w:cs="Arial"/>
                <w:b/>
                <w:bCs/>
                <w:color w:val="FF6600"/>
                <w:sz w:val="20"/>
                <w:szCs w:val="20"/>
                <w:lang w:val="it-IT"/>
              </w:rPr>
            </w:pPr>
          </w:p>
        </w:tc>
        <w:tc>
          <w:tcPr>
            <w:tcW w:w="5040" w:type="dxa"/>
            <w:gridSpan w:val="3"/>
            <w:shd w:val="clear" w:color="auto" w:fill="E0E0E0"/>
          </w:tcPr>
          <w:p w14:paraId="4171A9B8" w14:textId="77777777" w:rsidR="00B07D2F" w:rsidRPr="000E6AF6" w:rsidRDefault="00B07D2F" w:rsidP="00794959">
            <w:pPr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lang w:val="it-IT"/>
              </w:rPr>
            </w:pPr>
          </w:p>
          <w:p w14:paraId="4088C180" w14:textId="77777777" w:rsidR="00B07D2F" w:rsidRPr="000E6AF6" w:rsidRDefault="00B07D2F" w:rsidP="00794959">
            <w:pPr>
              <w:ind w:left="72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0E6AF6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BACK TO OFFICE REPORT (BTOR)</w:t>
            </w:r>
          </w:p>
          <w:p w14:paraId="5974142E" w14:textId="77777777" w:rsidR="00B07D2F" w:rsidRPr="000E6AF6" w:rsidRDefault="00B07D2F" w:rsidP="00794959">
            <w:pPr>
              <w:ind w:left="72"/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</w:pPr>
          </w:p>
          <w:p w14:paraId="553709E4" w14:textId="77777777" w:rsidR="00B07D2F" w:rsidRPr="000E6AF6" w:rsidRDefault="00B07D2F" w:rsidP="00794959">
            <w:pPr>
              <w:ind w:left="72"/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</w:pPr>
          </w:p>
          <w:p w14:paraId="3B836039" w14:textId="77777777" w:rsidR="00B07D2F" w:rsidRDefault="00B07D2F" w:rsidP="00794959">
            <w:pPr>
              <w:ind w:left="72"/>
              <w:rPr>
                <w:rFonts w:ascii="Arial Narrow" w:hAnsi="Arial Narrow" w:cs="Arial"/>
                <w:bCs/>
                <w:color w:val="000080"/>
                <w:sz w:val="20"/>
                <w:szCs w:val="20"/>
              </w:rPr>
            </w:pPr>
            <w:r w:rsidRPr="000E6AF6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  <w:t xml:space="preserve">Submitted by:   </w:t>
            </w:r>
            <w:r>
              <w:rPr>
                <w:rFonts w:ascii="Arial Narrow" w:hAnsi="Arial Narrow" w:cs="Arial"/>
                <w:bCs/>
                <w:color w:val="000080"/>
                <w:sz w:val="20"/>
                <w:szCs w:val="20"/>
              </w:rPr>
              <w:t>Stefanie Afonso (Policy</w:t>
            </w:r>
            <w:r w:rsidRPr="001D12DC">
              <w:rPr>
                <w:rFonts w:ascii="Arial Narrow" w:hAnsi="Arial Narrow" w:cs="Arial"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80"/>
                <w:sz w:val="20"/>
                <w:szCs w:val="20"/>
              </w:rPr>
              <w:t xml:space="preserve">Analyst, Recovery) </w:t>
            </w:r>
          </w:p>
          <w:p w14:paraId="3A0F2FDE" w14:textId="77777777" w:rsidR="00B07D2F" w:rsidRPr="000E6AF6" w:rsidRDefault="00B07D2F" w:rsidP="00794959">
            <w:pPr>
              <w:ind w:left="72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  <w:r w:rsidRPr="000E6AF6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  <w:t xml:space="preserve">Date Submitted:  </w:t>
            </w:r>
            <w:r>
              <w:rPr>
                <w:rFonts w:ascii="Arial Narrow" w:hAnsi="Arial Narrow" w:cs="Arial"/>
                <w:bCs/>
                <w:color w:val="000080"/>
                <w:sz w:val="20"/>
                <w:szCs w:val="20"/>
              </w:rPr>
              <w:t xml:space="preserve">5 May 2019 </w:t>
            </w:r>
          </w:p>
          <w:p w14:paraId="73AC2439" w14:textId="77777777" w:rsidR="00B07D2F" w:rsidRPr="000E6AF6" w:rsidRDefault="00B07D2F" w:rsidP="00794959">
            <w:pPr>
              <w:ind w:left="72"/>
              <w:rPr>
                <w:rFonts w:ascii="Arial Narrow" w:hAnsi="Arial Narrow" w:cs="Arial"/>
                <w:b/>
                <w:bCs/>
                <w:color w:val="3366FF"/>
                <w:sz w:val="20"/>
                <w:szCs w:val="20"/>
              </w:rPr>
            </w:pPr>
          </w:p>
        </w:tc>
      </w:tr>
      <w:tr w:rsidR="00B07D2F" w:rsidRPr="007E1246" w14:paraId="57038253" w14:textId="77777777" w:rsidTr="00794959">
        <w:tc>
          <w:tcPr>
            <w:tcW w:w="10710" w:type="dxa"/>
            <w:gridSpan w:val="5"/>
          </w:tcPr>
          <w:p w14:paraId="67247A72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1.  Practice Area: 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Crisis Bureau, UNDP</w:t>
            </w: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 xml:space="preserve">/ New York </w:t>
            </w:r>
          </w:p>
          <w:p w14:paraId="7D7A4705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2.  Service Line: </w:t>
            </w: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>Disaster Risk Reduction and Recovery for Building Resilience (DRT)</w:t>
            </w:r>
          </w:p>
        </w:tc>
      </w:tr>
      <w:tr w:rsidR="00B07D2F" w:rsidRPr="007E1246" w14:paraId="1F15495B" w14:textId="77777777" w:rsidTr="00794959">
        <w:tc>
          <w:tcPr>
            <w:tcW w:w="10710" w:type="dxa"/>
            <w:gridSpan w:val="5"/>
          </w:tcPr>
          <w:p w14:paraId="3CAB9F91" w14:textId="744DF027" w:rsidR="00B07D2F" w:rsidRPr="007E1246" w:rsidRDefault="00B07D2F" w:rsidP="007949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Mission Period (incl. of travel days):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3D36DA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="003D36DA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March 2019</w:t>
            </w: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7D2F" w:rsidRPr="007E1246" w14:paraId="438C6C4C" w14:textId="77777777" w:rsidTr="00794959">
        <w:tc>
          <w:tcPr>
            <w:tcW w:w="6300" w:type="dxa"/>
            <w:gridSpan w:val="3"/>
          </w:tcPr>
          <w:p w14:paraId="0EABED12" w14:textId="77777777" w:rsidR="00B07D2F" w:rsidRPr="007E1246" w:rsidRDefault="00B07D2F" w:rsidP="00794959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Type of Service/Mission</w:t>
            </w:r>
          </w:p>
          <w:p w14:paraId="74B28A2D" w14:textId="77777777" w:rsidR="00B07D2F" w:rsidRPr="007E1246" w:rsidRDefault="00B07D2F" w:rsidP="0079495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Country support mission</w:t>
            </w:r>
          </w:p>
          <w:p w14:paraId="006BDADC" w14:textId="77777777" w:rsidR="00B07D2F" w:rsidRPr="001625E5" w:rsidRDefault="00B07D2F" w:rsidP="0079495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Monitoring </w:t>
            </w:r>
          </w:p>
        </w:tc>
        <w:tc>
          <w:tcPr>
            <w:tcW w:w="4410" w:type="dxa"/>
            <w:gridSpan w:val="2"/>
          </w:tcPr>
          <w:p w14:paraId="44B7DCCC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5.  Client(s)</w:t>
            </w:r>
          </w:p>
          <w:p w14:paraId="5C9E64C3" w14:textId="77777777" w:rsidR="00B07D2F" w:rsidRPr="007E1246" w:rsidRDefault="00B07D2F" w:rsidP="00794959">
            <w:pPr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 xml:space="preserve">n/a </w:t>
            </w:r>
          </w:p>
        </w:tc>
      </w:tr>
      <w:tr w:rsidR="00B07D2F" w:rsidRPr="007E1246" w14:paraId="2FF86613" w14:textId="77777777" w:rsidTr="00794959">
        <w:tc>
          <w:tcPr>
            <w:tcW w:w="6300" w:type="dxa"/>
            <w:gridSpan w:val="3"/>
          </w:tcPr>
          <w:p w14:paraId="7D23892E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6.  Purpose of Mission  </w:t>
            </w:r>
          </w:p>
          <w:p w14:paraId="5752A74A" w14:textId="77777777" w:rsidR="00B07D2F" w:rsidRPr="007E1246" w:rsidRDefault="00B07D2F" w:rsidP="0079495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Country Support mission within the Phase II of the “Building Capacities for Resilient Recovery” (BCRRII) and identify action points to accelerate project implementation </w:t>
            </w:r>
          </w:p>
        </w:tc>
        <w:tc>
          <w:tcPr>
            <w:tcW w:w="4410" w:type="dxa"/>
            <w:gridSpan w:val="2"/>
          </w:tcPr>
          <w:p w14:paraId="18E8AC35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7.  Documents, Materials, Resources from Mission.</w:t>
            </w:r>
          </w:p>
          <w:p w14:paraId="31233D6E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07D2F" w:rsidRPr="007E1246" w14:paraId="2C0BA5AA" w14:textId="77777777" w:rsidTr="00794959">
        <w:tc>
          <w:tcPr>
            <w:tcW w:w="6300" w:type="dxa"/>
            <w:gridSpan w:val="3"/>
          </w:tcPr>
          <w:p w14:paraId="6770BAD2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8.  Mission Member(s) (include consultants if any)</w:t>
            </w:r>
          </w:p>
          <w:p w14:paraId="6ABBF4E9" w14:textId="77777777" w:rsidR="00B07D2F" w:rsidRPr="007E1246" w:rsidRDefault="00B07D2F" w:rsidP="0079495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>Stefanie Afonso, Policy Analyst</w:t>
            </w:r>
          </w:p>
        </w:tc>
        <w:tc>
          <w:tcPr>
            <w:tcW w:w="4410" w:type="dxa"/>
            <w:gridSpan w:val="2"/>
          </w:tcPr>
          <w:p w14:paraId="47AF7AB1" w14:textId="77777777" w:rsidR="00B07D2F" w:rsidRPr="007E1246" w:rsidRDefault="00B07D2F" w:rsidP="007949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9. Annexes: </w:t>
            </w:r>
          </w:p>
          <w:p w14:paraId="3202AF4B" w14:textId="77777777" w:rsidR="00B07D2F" w:rsidRPr="007E1246" w:rsidRDefault="00B07D2F" w:rsidP="0079495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Action points for accelerated implementation </w:t>
            </w:r>
          </w:p>
        </w:tc>
      </w:tr>
      <w:tr w:rsidR="00B07D2F" w:rsidRPr="007E1246" w14:paraId="6914A52B" w14:textId="77777777" w:rsidTr="00794959">
        <w:tc>
          <w:tcPr>
            <w:tcW w:w="10710" w:type="dxa"/>
            <w:gridSpan w:val="5"/>
          </w:tcPr>
          <w:p w14:paraId="55DF474B" w14:textId="77777777" w:rsidR="00B07D2F" w:rsidRPr="007E1246" w:rsidRDefault="00B07D2F" w:rsidP="007949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10. Summary of the Mission</w:t>
            </w: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71BEEE98" w14:textId="77777777" w:rsidR="00B07D2F" w:rsidRPr="007E1246" w:rsidRDefault="00B07D2F" w:rsidP="007949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>The primary objective of the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mission was to meet national counterparts and UNDP country office technical team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so as to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identify bottlenecks and acceleration points guaranteeing a smooth 2019 project implementation.  </w:t>
            </w:r>
            <w:r w:rsidRPr="007E124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4D44211" w14:textId="77777777" w:rsidR="00B07D2F" w:rsidRPr="007E1246" w:rsidRDefault="00B07D2F" w:rsidP="007949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4C9C572" w14:textId="77777777" w:rsidR="00B07D2F" w:rsidRDefault="00B07D2F" w:rsidP="0085630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The mission was also an opportunity to meet national government officials</w:t>
            </w:r>
            <w:r w:rsidR="008C5A93">
              <w:rPr>
                <w:rFonts w:ascii="Arial Narrow" w:hAnsi="Arial Narrow" w:cs="Arial"/>
                <w:bCs/>
                <w:sz w:val="20"/>
                <w:szCs w:val="20"/>
              </w:rPr>
              <w:t xml:space="preserve"> and better understand their most urgent needs in terms of recovery planning.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The annual report 2018 was shared with the Embassy of Luxembourg, donor of the phase II, and possible interactions with other projects, funded by Luxembourg, will be pursued. Moreover, </w:t>
            </w:r>
            <w:r w:rsidR="00B341A9">
              <w:rPr>
                <w:rFonts w:ascii="Arial Narrow" w:hAnsi="Arial Narrow" w:cs="Arial"/>
                <w:bCs/>
                <w:sz w:val="20"/>
                <w:szCs w:val="20"/>
              </w:rPr>
              <w:t xml:space="preserve">a </w:t>
            </w:r>
            <w:proofErr w:type="gramStart"/>
            <w:r w:rsidR="00B341A9">
              <w:rPr>
                <w:rFonts w:ascii="Arial Narrow" w:hAnsi="Arial Narrow" w:cs="Arial"/>
                <w:bCs/>
                <w:sz w:val="20"/>
                <w:szCs w:val="20"/>
              </w:rPr>
              <w:t>particular attention</w:t>
            </w:r>
            <w:proofErr w:type="gramEnd"/>
            <w:r w:rsidR="00B341A9">
              <w:rPr>
                <w:rFonts w:ascii="Arial Narrow" w:hAnsi="Arial Narrow" w:cs="Arial"/>
                <w:bCs/>
                <w:sz w:val="20"/>
                <w:szCs w:val="20"/>
              </w:rPr>
              <w:t xml:space="preserve"> will have to be given to communication and knowledge management, </w:t>
            </w:r>
            <w:r w:rsidR="0085630B">
              <w:rPr>
                <w:rFonts w:ascii="Arial Narrow" w:hAnsi="Arial Narrow" w:cs="Arial"/>
                <w:bCs/>
                <w:sz w:val="20"/>
                <w:szCs w:val="20"/>
              </w:rPr>
              <w:t>so as to increase the visibility of ongoing activities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14:paraId="367607C3" w14:textId="213899EA" w:rsidR="006F3BFE" w:rsidRPr="007E1246" w:rsidRDefault="006F3BFE" w:rsidP="0085630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The project having 2 dedicated staff at the country office level, </w:t>
            </w:r>
            <w:r w:rsidR="00372657">
              <w:rPr>
                <w:rFonts w:ascii="Arial Narrow" w:hAnsi="Arial Narrow" w:cs="Arial"/>
                <w:bCs/>
                <w:sz w:val="20"/>
                <w:szCs w:val="20"/>
              </w:rPr>
              <w:t xml:space="preserve">the 2019 Work Plan should encounter a smooth implementation. </w:t>
            </w:r>
            <w:bookmarkStart w:id="0" w:name="_GoBack"/>
            <w:bookmarkEnd w:id="0"/>
          </w:p>
        </w:tc>
      </w:tr>
      <w:tr w:rsidR="00B07D2F" w:rsidRPr="007E1246" w14:paraId="2DC12D8F" w14:textId="77777777" w:rsidTr="00794959"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14:paraId="581160F3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11. Follow-up Action Matrix</w:t>
            </w:r>
          </w:p>
        </w:tc>
      </w:tr>
      <w:tr w:rsidR="00B07D2F" w:rsidRPr="007E1246" w14:paraId="5674DDAF" w14:textId="77777777" w:rsidTr="00794959">
        <w:trPr>
          <w:trHeight w:val="230"/>
        </w:trPr>
        <w:tc>
          <w:tcPr>
            <w:tcW w:w="63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FD9446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Actions to be taken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CA7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73D9BB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Expected Completion Date</w:t>
            </w:r>
          </w:p>
        </w:tc>
      </w:tr>
      <w:tr w:rsidR="00B07D2F" w:rsidRPr="007E1246" w14:paraId="5C6F3605" w14:textId="77777777" w:rsidTr="00794959">
        <w:trPr>
          <w:trHeight w:val="230"/>
        </w:trPr>
        <w:tc>
          <w:tcPr>
            <w:tcW w:w="63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695B10" w14:textId="77777777" w:rsidR="00B07D2F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bookmarkStart w:id="1" w:name="_Hlk517184634"/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Follow-up on the identified action points </w:t>
            </w:r>
            <w:proofErr w:type="gramStart"/>
            <w:r>
              <w:rPr>
                <w:rFonts w:ascii="Arial Narrow" w:hAnsi="Arial Narrow" w:cs="Calibri"/>
                <w:bCs/>
                <w:sz w:val="20"/>
                <w:szCs w:val="20"/>
              </w:rPr>
              <w:t>on a monthly basis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282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Stefanie Afonso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EAEC11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December 2019</w:t>
            </w:r>
          </w:p>
        </w:tc>
      </w:tr>
      <w:bookmarkEnd w:id="1"/>
      <w:tr w:rsidR="00B07D2F" w:rsidRPr="007E1246" w14:paraId="7D5C7F98" w14:textId="77777777" w:rsidTr="00794959">
        <w:trPr>
          <w:trHeight w:val="230"/>
        </w:trPr>
        <w:tc>
          <w:tcPr>
            <w:tcW w:w="10710" w:type="dxa"/>
            <w:gridSpan w:val="5"/>
            <w:tcBorders>
              <w:top w:val="double" w:sz="4" w:space="0" w:color="auto"/>
            </w:tcBorders>
          </w:tcPr>
          <w:p w14:paraId="317842BF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1246">
              <w:rPr>
                <w:rFonts w:ascii="Arial Narrow" w:hAnsi="Arial Narrow" w:cs="Arial"/>
                <w:b/>
                <w:bCs/>
                <w:sz w:val="20"/>
                <w:szCs w:val="20"/>
              </w:rPr>
              <w:t>12. Distribution List (BTOR sent to):</w:t>
            </w:r>
          </w:p>
          <w:p w14:paraId="6DA5668F" w14:textId="77777777" w:rsidR="00B07D2F" w:rsidRPr="007E1246" w:rsidRDefault="00B07D2F" w:rsidP="007949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  <w:lang w:val="pt-PT"/>
              </w:rPr>
            </w:pPr>
            <w:r w:rsidRPr="007E1246">
              <w:rPr>
                <w:rFonts w:ascii="Arial Narrow" w:hAnsi="Arial Narrow" w:cs="Arial"/>
                <w:bCs/>
                <w:sz w:val="20"/>
                <w:szCs w:val="20"/>
                <w:lang w:val="pt-PT"/>
              </w:rPr>
              <w:t>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t-PT"/>
              </w:rPr>
              <w:t xml:space="preserve">ngelika Planitz, </w:t>
            </w:r>
            <w:r w:rsidRPr="007E1246">
              <w:rPr>
                <w:rFonts w:ascii="Arial Narrow" w:hAnsi="Arial Narrow" w:cs="Arial"/>
                <w:bCs/>
                <w:sz w:val="20"/>
                <w:szCs w:val="20"/>
                <w:lang w:val="pt-PT"/>
              </w:rPr>
              <w:t xml:space="preserve">Krishna Vatsa, Rita Missal,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t-PT"/>
              </w:rPr>
              <w:t xml:space="preserve">Jeannette Fernandez Castro </w:t>
            </w:r>
          </w:p>
        </w:tc>
      </w:tr>
    </w:tbl>
    <w:p w14:paraId="6097EFF7" w14:textId="77777777" w:rsidR="00B07D2F" w:rsidRPr="007E1246" w:rsidRDefault="00B07D2F" w:rsidP="00B07D2F">
      <w:pPr>
        <w:jc w:val="center"/>
        <w:rPr>
          <w:rFonts w:ascii="Arial Narrow" w:hAnsi="Arial Narrow" w:cs="Arial"/>
          <w:b/>
          <w:sz w:val="20"/>
          <w:szCs w:val="20"/>
          <w:lang w:val="pt-PT"/>
        </w:rPr>
      </w:pPr>
    </w:p>
    <w:p w14:paraId="3FDDB969" w14:textId="77777777" w:rsidR="00B07D2F" w:rsidRPr="007E1246" w:rsidRDefault="00B07D2F" w:rsidP="00B07D2F">
      <w:pPr>
        <w:jc w:val="center"/>
        <w:rPr>
          <w:rFonts w:ascii="Calibri" w:hAnsi="Calibri"/>
          <w:b/>
          <w:szCs w:val="22"/>
          <w:lang w:val="pt-PT"/>
        </w:rPr>
      </w:pPr>
    </w:p>
    <w:p w14:paraId="381ED374" w14:textId="77777777" w:rsidR="00B07D2F" w:rsidRPr="007E1246" w:rsidRDefault="00B07D2F" w:rsidP="00B07D2F">
      <w:pPr>
        <w:rPr>
          <w:rFonts w:ascii="Calibri" w:hAnsi="Calibri"/>
          <w:szCs w:val="22"/>
          <w:lang w:val="pt-PT"/>
        </w:rPr>
      </w:pPr>
      <w:r w:rsidRPr="007E1246">
        <w:rPr>
          <w:rFonts w:ascii="Calibri" w:hAnsi="Calibri"/>
          <w:szCs w:val="22"/>
          <w:lang w:val="pt-PT"/>
        </w:rPr>
        <w:tab/>
      </w:r>
      <w:r w:rsidRPr="007E1246">
        <w:rPr>
          <w:rFonts w:ascii="Calibri" w:hAnsi="Calibri"/>
          <w:szCs w:val="22"/>
          <w:lang w:val="pt-PT"/>
        </w:rPr>
        <w:tab/>
      </w:r>
    </w:p>
    <w:p w14:paraId="11A2C89C" w14:textId="77777777" w:rsidR="00B07D2F" w:rsidRPr="007E1246" w:rsidRDefault="00B07D2F" w:rsidP="00B07D2F">
      <w:pPr>
        <w:rPr>
          <w:rFonts w:ascii="Calibri" w:hAnsi="Calibri"/>
          <w:szCs w:val="22"/>
          <w:lang w:val="pt-PT"/>
        </w:rPr>
      </w:pPr>
    </w:p>
    <w:p w14:paraId="339984EF" w14:textId="77777777" w:rsidR="00651286" w:rsidRDefault="00651286">
      <w:pPr>
        <w:rPr>
          <w:lang w:val="pt-PT"/>
        </w:rPr>
        <w:sectPr w:rsidR="006512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D80FD4" w14:textId="77777777" w:rsidR="00C854DC" w:rsidRPr="000A4472" w:rsidRDefault="00651286" w:rsidP="00C854DC">
      <w:pPr>
        <w:rPr>
          <w:rFonts w:ascii="Arial" w:hAnsi="Arial" w:cs="Arial"/>
          <w:sz w:val="20"/>
          <w:szCs w:val="20"/>
          <w:u w:val="single"/>
          <w:lang w:val="pt-PT"/>
        </w:rPr>
      </w:pPr>
      <w:proofErr w:type="spellStart"/>
      <w:r w:rsidRPr="000A4472">
        <w:rPr>
          <w:rFonts w:ascii="Arial" w:hAnsi="Arial" w:cs="Arial"/>
          <w:sz w:val="20"/>
          <w:szCs w:val="20"/>
          <w:u w:val="single"/>
          <w:lang w:val="pt-PT"/>
        </w:rPr>
        <w:lastRenderedPageBreak/>
        <w:t>Annex</w:t>
      </w:r>
      <w:proofErr w:type="spellEnd"/>
      <w:r w:rsidRPr="000A4472">
        <w:rPr>
          <w:rFonts w:ascii="Arial" w:hAnsi="Arial" w:cs="Arial"/>
          <w:sz w:val="20"/>
          <w:szCs w:val="20"/>
          <w:u w:val="single"/>
          <w:lang w:val="pt-PT"/>
        </w:rPr>
        <w:t xml:space="preserve"> 1 </w:t>
      </w:r>
    </w:p>
    <w:p w14:paraId="3E8F4093" w14:textId="40F930F5" w:rsidR="00651286" w:rsidRPr="000A4472" w:rsidRDefault="00651286" w:rsidP="00C854DC">
      <w:pPr>
        <w:jc w:val="center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0A4472">
        <w:rPr>
          <w:rFonts w:ascii="Arial" w:hAnsi="Arial" w:cs="Arial"/>
          <w:b/>
          <w:sz w:val="20"/>
          <w:szCs w:val="20"/>
          <w:u w:val="single"/>
          <w:lang w:val="pt-PT"/>
        </w:rPr>
        <w:t>Mission agenda</w:t>
      </w:r>
    </w:p>
    <w:p w14:paraId="4268B5A6" w14:textId="77777777" w:rsidR="00651286" w:rsidRPr="000A4472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pt-PT"/>
        </w:rPr>
      </w:pPr>
    </w:p>
    <w:p w14:paraId="0C0C6535" w14:textId="77777777" w:rsidR="00651286" w:rsidRPr="000A4472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pt-PT"/>
        </w:rPr>
      </w:pPr>
    </w:p>
    <w:p w14:paraId="784FC3FC" w14:textId="77777777" w:rsidR="00651286" w:rsidRPr="000A4472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pt-PT"/>
        </w:rPr>
      </w:pPr>
    </w:p>
    <w:p w14:paraId="7498A02C" w14:textId="77777777" w:rsidR="000A4472" w:rsidRPr="000A4472" w:rsidRDefault="000A4472" w:rsidP="000A4472">
      <w:pPr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  <w:proofErr w:type="spellStart"/>
      <w:r w:rsidRPr="000A4472">
        <w:rPr>
          <w:rFonts w:ascii="Arial" w:hAnsi="Arial" w:cs="Arial"/>
          <w:b/>
          <w:sz w:val="22"/>
          <w:szCs w:val="22"/>
          <w:u w:val="single"/>
          <w:lang w:val="pt-PT"/>
        </w:rPr>
        <w:t>Jour</w:t>
      </w:r>
      <w:proofErr w:type="spellEnd"/>
      <w:r w:rsidRPr="000A4472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1 (28/03): </w:t>
      </w:r>
    </w:p>
    <w:p w14:paraId="1E45ADED" w14:textId="357A3A49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A4472">
        <w:rPr>
          <w:rFonts w:ascii="Arial" w:hAnsi="Arial" w:cs="Arial"/>
          <w:sz w:val="22"/>
          <w:szCs w:val="22"/>
          <w:lang w:val="pt-PT"/>
        </w:rPr>
        <w:t xml:space="preserve">9h00 – 10h00: </w:t>
      </w:r>
      <w:proofErr w:type="spellStart"/>
      <w:r w:rsidRPr="000A4472">
        <w:rPr>
          <w:rFonts w:ascii="Arial" w:hAnsi="Arial" w:cs="Arial"/>
          <w:sz w:val="22"/>
          <w:szCs w:val="22"/>
          <w:lang w:val="pt-PT"/>
        </w:rPr>
        <w:t>Luxembourg</w:t>
      </w:r>
      <w:proofErr w:type="spellEnd"/>
      <w:r w:rsidRPr="000A4472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722E0CF9" w14:textId="31371B9C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A4472">
        <w:rPr>
          <w:rFonts w:ascii="Arial" w:hAnsi="Arial" w:cs="Arial"/>
          <w:sz w:val="22"/>
          <w:szCs w:val="22"/>
          <w:lang w:val="pt-PT"/>
        </w:rPr>
        <w:t xml:space="preserve">10h00 – 11h00: </w:t>
      </w:r>
      <w:proofErr w:type="spellStart"/>
      <w:r w:rsidRPr="000A4472">
        <w:rPr>
          <w:rFonts w:ascii="Arial" w:hAnsi="Arial" w:cs="Arial"/>
          <w:sz w:val="22"/>
          <w:szCs w:val="22"/>
          <w:lang w:val="pt-PT"/>
        </w:rPr>
        <w:t>Cellule</w:t>
      </w:r>
      <w:proofErr w:type="spellEnd"/>
      <w:r w:rsidRPr="000A4472">
        <w:rPr>
          <w:rFonts w:ascii="Arial" w:hAnsi="Arial" w:cs="Arial"/>
          <w:sz w:val="22"/>
          <w:szCs w:val="22"/>
          <w:lang w:val="pt-PT"/>
        </w:rPr>
        <w:t xml:space="preserve"> de Crises </w:t>
      </w:r>
      <w:proofErr w:type="spellStart"/>
      <w:proofErr w:type="gramStart"/>
      <w:r w:rsidRPr="000A4472">
        <w:rPr>
          <w:rFonts w:ascii="Arial" w:hAnsi="Arial" w:cs="Arial"/>
          <w:sz w:val="22"/>
          <w:szCs w:val="22"/>
          <w:lang w:val="pt-PT"/>
        </w:rPr>
        <w:t>alimentaires</w:t>
      </w:r>
      <w:proofErr w:type="spellEnd"/>
      <w:r w:rsidRPr="000A4472">
        <w:rPr>
          <w:rFonts w:ascii="Arial" w:hAnsi="Arial" w:cs="Arial"/>
          <w:sz w:val="22"/>
          <w:szCs w:val="22"/>
          <w:lang w:val="pt-PT"/>
        </w:rPr>
        <w:t> :</w:t>
      </w:r>
      <w:proofErr w:type="gramEnd"/>
      <w:r w:rsidRPr="000A4472">
        <w:rPr>
          <w:rFonts w:ascii="Arial" w:hAnsi="Arial" w:cs="Arial"/>
          <w:sz w:val="22"/>
          <w:szCs w:val="22"/>
          <w:lang w:val="pt-PT"/>
        </w:rPr>
        <w:t xml:space="preserve"> 90072022</w:t>
      </w:r>
    </w:p>
    <w:p w14:paraId="6BB4AF48" w14:textId="16756220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A4472">
        <w:rPr>
          <w:rFonts w:ascii="Arial" w:hAnsi="Arial" w:cs="Arial"/>
          <w:sz w:val="22"/>
          <w:szCs w:val="22"/>
          <w:lang w:val="pt-PT"/>
        </w:rPr>
        <w:t xml:space="preserve">11h15 – 12h15: </w:t>
      </w:r>
      <w:proofErr w:type="spellStart"/>
      <w:r w:rsidRPr="000A4472">
        <w:rPr>
          <w:rFonts w:ascii="Arial" w:hAnsi="Arial" w:cs="Arial"/>
          <w:sz w:val="22"/>
          <w:szCs w:val="22"/>
          <w:lang w:val="pt-PT"/>
        </w:rPr>
        <w:t>Sirba</w:t>
      </w:r>
      <w:proofErr w:type="spellEnd"/>
      <w:r w:rsidRPr="000A4472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0A4472">
        <w:rPr>
          <w:rFonts w:ascii="Arial" w:hAnsi="Arial" w:cs="Arial"/>
          <w:sz w:val="22"/>
          <w:szCs w:val="22"/>
          <w:lang w:val="pt-PT"/>
        </w:rPr>
        <w:t>Communication</w:t>
      </w:r>
      <w:proofErr w:type="spellEnd"/>
      <w:r w:rsidRPr="000A4472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0DB53CB1" w14:textId="11689733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A4472">
        <w:rPr>
          <w:rFonts w:ascii="Arial" w:hAnsi="Arial" w:cs="Arial"/>
          <w:sz w:val="22"/>
          <w:szCs w:val="22"/>
          <w:lang w:val="pt-PT"/>
        </w:rPr>
        <w:t xml:space="preserve">14h15 – 15h00: RR </w:t>
      </w:r>
      <w:proofErr w:type="gramStart"/>
      <w:r w:rsidRPr="000A4472">
        <w:rPr>
          <w:rFonts w:ascii="Arial" w:hAnsi="Arial" w:cs="Arial"/>
          <w:sz w:val="22"/>
          <w:szCs w:val="22"/>
          <w:lang w:val="pt-PT"/>
        </w:rPr>
        <w:t>ai</w:t>
      </w:r>
      <w:proofErr w:type="gramEnd"/>
      <w:r w:rsidRPr="000A4472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0A4472">
        <w:rPr>
          <w:rFonts w:ascii="Arial" w:hAnsi="Arial" w:cs="Arial"/>
          <w:sz w:val="22"/>
          <w:szCs w:val="22"/>
          <w:lang w:val="pt-PT"/>
        </w:rPr>
        <w:t>du</w:t>
      </w:r>
      <w:proofErr w:type="spellEnd"/>
      <w:r w:rsidRPr="000A4472">
        <w:rPr>
          <w:rFonts w:ascii="Arial" w:hAnsi="Arial" w:cs="Arial"/>
          <w:sz w:val="22"/>
          <w:szCs w:val="22"/>
          <w:lang w:val="pt-PT"/>
        </w:rPr>
        <w:t xml:space="preserve"> PNUD </w:t>
      </w:r>
    </w:p>
    <w:p w14:paraId="7CE61C8D" w14:textId="00ED512F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A4472">
        <w:rPr>
          <w:rFonts w:ascii="Arial" w:hAnsi="Arial" w:cs="Arial"/>
          <w:sz w:val="22"/>
          <w:szCs w:val="22"/>
          <w:lang w:val="pt-PT"/>
        </w:rPr>
        <w:t xml:space="preserve">15h15 – 16h00: FAO </w:t>
      </w:r>
    </w:p>
    <w:p w14:paraId="22E24DA7" w14:textId="312D8036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472">
        <w:rPr>
          <w:rFonts w:ascii="Arial" w:hAnsi="Arial" w:cs="Arial"/>
          <w:sz w:val="22"/>
          <w:szCs w:val="22"/>
          <w:lang w:val="fr-FR"/>
        </w:rPr>
        <w:t>16h15 – 17h</w:t>
      </w:r>
      <w:proofErr w:type="gramStart"/>
      <w:r w:rsidRPr="000A4472">
        <w:rPr>
          <w:rFonts w:ascii="Arial" w:hAnsi="Arial" w:cs="Arial"/>
          <w:sz w:val="22"/>
          <w:szCs w:val="22"/>
          <w:lang w:val="fr-FR"/>
        </w:rPr>
        <w:t>15:</w:t>
      </w:r>
      <w:proofErr w:type="gramEnd"/>
      <w:r w:rsidRPr="000A4472">
        <w:rPr>
          <w:rFonts w:ascii="Arial" w:hAnsi="Arial" w:cs="Arial"/>
          <w:sz w:val="22"/>
          <w:szCs w:val="22"/>
          <w:lang w:val="fr-FR"/>
        </w:rPr>
        <w:t xml:space="preserve"> DGPC </w:t>
      </w:r>
    </w:p>
    <w:p w14:paraId="5EC9C008" w14:textId="6F6091DD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472">
        <w:rPr>
          <w:rFonts w:ascii="Arial" w:hAnsi="Arial" w:cs="Arial"/>
          <w:sz w:val="22"/>
          <w:szCs w:val="22"/>
          <w:lang w:val="fr-FR"/>
        </w:rPr>
        <w:t>17h30 – 18h</w:t>
      </w:r>
      <w:proofErr w:type="gramStart"/>
      <w:r w:rsidRPr="000A4472">
        <w:rPr>
          <w:rFonts w:ascii="Arial" w:hAnsi="Arial" w:cs="Arial"/>
          <w:sz w:val="22"/>
          <w:szCs w:val="22"/>
          <w:lang w:val="fr-FR"/>
        </w:rPr>
        <w:t>30:</w:t>
      </w:r>
      <w:proofErr w:type="gramEnd"/>
      <w:r w:rsidRPr="000A4472">
        <w:rPr>
          <w:rFonts w:ascii="Arial" w:hAnsi="Arial" w:cs="Arial"/>
          <w:sz w:val="22"/>
          <w:szCs w:val="22"/>
          <w:lang w:val="fr-FR"/>
        </w:rPr>
        <w:t xml:space="preserve"> Ministère de l’Action Humanitaire et de la Gestion des Catastrophes</w:t>
      </w:r>
    </w:p>
    <w:p w14:paraId="4A9A3FC0" w14:textId="77777777" w:rsidR="000A4472" w:rsidRDefault="000A4472" w:rsidP="000A44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47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A49FA3D" w14:textId="77777777" w:rsidR="000A4472" w:rsidRPr="00832B06" w:rsidRDefault="000A4472" w:rsidP="000A4472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9CD8B0E" w14:textId="77777777" w:rsidR="000A4472" w:rsidRPr="00832B06" w:rsidRDefault="000A4472" w:rsidP="000A4472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CD8CDDE" w14:textId="2311B806" w:rsidR="000A4472" w:rsidRPr="000A4472" w:rsidRDefault="000A4472" w:rsidP="000A4472">
      <w:pPr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  <w:proofErr w:type="spellStart"/>
      <w:r w:rsidRPr="000A4472">
        <w:rPr>
          <w:rFonts w:ascii="Arial" w:hAnsi="Arial" w:cs="Arial"/>
          <w:b/>
          <w:sz w:val="22"/>
          <w:szCs w:val="22"/>
          <w:u w:val="single"/>
          <w:lang w:val="pt-PT"/>
        </w:rPr>
        <w:t>Jour</w:t>
      </w:r>
      <w:proofErr w:type="spellEnd"/>
      <w:r w:rsidRPr="000A4472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2 (29/03): </w:t>
      </w:r>
    </w:p>
    <w:p w14:paraId="245EAB1F" w14:textId="4D3D1C87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A4472">
        <w:rPr>
          <w:rFonts w:ascii="Arial" w:hAnsi="Arial" w:cs="Arial"/>
          <w:sz w:val="22"/>
          <w:szCs w:val="22"/>
          <w:lang w:val="pt-PT"/>
        </w:rPr>
        <w:t xml:space="preserve">9h00 – 9h45: I3N </w:t>
      </w:r>
    </w:p>
    <w:p w14:paraId="1A2EAEF3" w14:textId="77777777" w:rsidR="00832B06" w:rsidRDefault="000A4472" w:rsidP="000A44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472">
        <w:rPr>
          <w:rFonts w:ascii="Arial" w:hAnsi="Arial" w:cs="Arial"/>
          <w:sz w:val="22"/>
          <w:szCs w:val="22"/>
          <w:lang w:val="fr-FR"/>
        </w:rPr>
        <w:t>10h00 – 10h</w:t>
      </w:r>
      <w:proofErr w:type="gramStart"/>
      <w:r w:rsidRPr="000A4472">
        <w:rPr>
          <w:rFonts w:ascii="Arial" w:hAnsi="Arial" w:cs="Arial"/>
          <w:sz w:val="22"/>
          <w:szCs w:val="22"/>
          <w:lang w:val="fr-FR"/>
        </w:rPr>
        <w:t>45:</w:t>
      </w:r>
      <w:proofErr w:type="gramEnd"/>
      <w:r w:rsidRPr="000A4472">
        <w:rPr>
          <w:rFonts w:ascii="Arial" w:hAnsi="Arial" w:cs="Arial"/>
          <w:sz w:val="22"/>
          <w:szCs w:val="22"/>
          <w:lang w:val="fr-FR"/>
        </w:rPr>
        <w:t xml:space="preserve"> Banque mondiale </w:t>
      </w:r>
    </w:p>
    <w:p w14:paraId="0D47063F" w14:textId="0F8CACE9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472">
        <w:rPr>
          <w:rFonts w:ascii="Arial" w:hAnsi="Arial" w:cs="Arial"/>
          <w:sz w:val="22"/>
          <w:szCs w:val="22"/>
          <w:lang w:val="fr-FR"/>
        </w:rPr>
        <w:t>11h00 – 11h</w:t>
      </w:r>
      <w:proofErr w:type="gramStart"/>
      <w:r w:rsidRPr="000A4472">
        <w:rPr>
          <w:rFonts w:ascii="Arial" w:hAnsi="Arial" w:cs="Arial"/>
          <w:sz w:val="22"/>
          <w:szCs w:val="22"/>
          <w:lang w:val="fr-FR"/>
        </w:rPr>
        <w:t>45:</w:t>
      </w:r>
      <w:proofErr w:type="gramEnd"/>
      <w:r w:rsidRPr="000A4472">
        <w:rPr>
          <w:rFonts w:ascii="Arial" w:hAnsi="Arial" w:cs="Arial"/>
          <w:sz w:val="22"/>
          <w:szCs w:val="22"/>
          <w:lang w:val="fr-FR"/>
        </w:rPr>
        <w:t xml:space="preserve"> Union Européenne </w:t>
      </w:r>
    </w:p>
    <w:p w14:paraId="78C7580E" w14:textId="3CFB975A" w:rsidR="000A4472" w:rsidRPr="000A4472" w:rsidRDefault="000A4472" w:rsidP="000A447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472">
        <w:rPr>
          <w:rFonts w:ascii="Arial" w:hAnsi="Arial" w:cs="Arial"/>
          <w:sz w:val="22"/>
          <w:szCs w:val="22"/>
          <w:lang w:val="fr-FR"/>
        </w:rPr>
        <w:t xml:space="preserve">14h00 – 18h00 Visite Commune </w:t>
      </w:r>
      <w:proofErr w:type="spellStart"/>
      <w:r w:rsidRPr="000A4472">
        <w:rPr>
          <w:rFonts w:ascii="Arial" w:hAnsi="Arial" w:cs="Arial"/>
          <w:sz w:val="22"/>
          <w:szCs w:val="22"/>
          <w:lang w:val="fr-FR"/>
        </w:rPr>
        <w:t>Simri</w:t>
      </w:r>
      <w:proofErr w:type="spellEnd"/>
      <w:r w:rsidRPr="000A4472">
        <w:rPr>
          <w:rFonts w:ascii="Arial" w:hAnsi="Arial" w:cs="Arial"/>
          <w:sz w:val="22"/>
          <w:szCs w:val="22"/>
          <w:lang w:val="fr-FR"/>
        </w:rPr>
        <w:t xml:space="preserve"> (OSV/sites maraîchers et savonnerie)</w:t>
      </w:r>
    </w:p>
    <w:p w14:paraId="58ED6E7C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DF11140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213850E2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0C5AF4E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3005A41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3E55151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F8D72AC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7A9466A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2D2E1F58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669E5E1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B4465FC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4E27D54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5919236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15982E9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6EC348A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7F0A9F1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D3B5D2D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3537F267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97FD708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496E287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8CD9030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EBEF394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98B1058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0969FA4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3515762B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5B40A7CF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9C4352B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54F4BD30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5533B11D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EC0F841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B8C898B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213600E" w14:textId="77777777" w:rsidR="00651286" w:rsidRDefault="00651286" w:rsidP="00651286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  <w:sectPr w:rsidR="00651286" w:rsidSect="00651286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5A751E5E" w14:textId="77777777" w:rsidR="00C854DC" w:rsidRPr="00C854DC" w:rsidRDefault="00651286" w:rsidP="00C854DC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C854DC">
        <w:rPr>
          <w:rFonts w:ascii="Arial" w:hAnsi="Arial" w:cs="Arial"/>
          <w:sz w:val="20"/>
          <w:szCs w:val="20"/>
          <w:u w:val="single"/>
          <w:lang w:val="fr-FR"/>
        </w:rPr>
        <w:lastRenderedPageBreak/>
        <w:t>Annex 2</w:t>
      </w:r>
    </w:p>
    <w:p w14:paraId="0A8B5741" w14:textId="527C954E" w:rsidR="00651286" w:rsidRPr="00C854DC" w:rsidRDefault="00651286" w:rsidP="00C854DC">
      <w:pPr>
        <w:jc w:val="center"/>
        <w:rPr>
          <w:rFonts w:ascii="Arial" w:hAnsi="Arial" w:cs="Arial"/>
          <w:b/>
          <w:sz w:val="18"/>
          <w:szCs w:val="20"/>
          <w:u w:val="single"/>
          <w:lang w:val="fr-FR"/>
        </w:rPr>
      </w:pPr>
      <w:r w:rsidRPr="00C854DC">
        <w:rPr>
          <w:rFonts w:ascii="Arial" w:hAnsi="Arial" w:cs="Arial"/>
          <w:b/>
          <w:sz w:val="18"/>
          <w:szCs w:val="20"/>
          <w:u w:val="single"/>
          <w:lang w:val="fr-FR"/>
        </w:rPr>
        <w:t xml:space="preserve">ACTION POINTS </w:t>
      </w:r>
      <w:proofErr w:type="gramStart"/>
      <w:r w:rsidRPr="00C854DC">
        <w:rPr>
          <w:rFonts w:ascii="Arial" w:hAnsi="Arial" w:cs="Arial"/>
          <w:b/>
          <w:sz w:val="18"/>
          <w:szCs w:val="20"/>
          <w:u w:val="single"/>
          <w:lang w:val="fr-FR"/>
        </w:rPr>
        <w:t xml:space="preserve">NIGER </w:t>
      </w:r>
      <w:r w:rsidR="00C854DC" w:rsidRPr="00C854DC">
        <w:rPr>
          <w:rFonts w:ascii="Arial" w:hAnsi="Arial" w:cs="Arial"/>
          <w:b/>
          <w:sz w:val="18"/>
          <w:szCs w:val="20"/>
          <w:u w:val="single"/>
          <w:lang w:val="fr-FR"/>
        </w:rPr>
        <w:t xml:space="preserve"> -</w:t>
      </w:r>
      <w:proofErr w:type="gramEnd"/>
      <w:r w:rsidR="00C854DC" w:rsidRPr="00C854DC">
        <w:rPr>
          <w:rFonts w:ascii="Arial" w:hAnsi="Arial" w:cs="Arial"/>
          <w:b/>
          <w:sz w:val="18"/>
          <w:szCs w:val="20"/>
          <w:u w:val="single"/>
          <w:lang w:val="fr-FR"/>
        </w:rPr>
        <w:t xml:space="preserve"> </w:t>
      </w:r>
      <w:r w:rsidRPr="00C854DC">
        <w:rPr>
          <w:rFonts w:ascii="Arial" w:hAnsi="Arial" w:cs="Arial"/>
          <w:b/>
          <w:sz w:val="18"/>
          <w:szCs w:val="20"/>
          <w:u w:val="single"/>
          <w:lang w:val="fr-FR"/>
        </w:rPr>
        <w:t>MISSION MARCH 2019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183"/>
        <w:gridCol w:w="6555"/>
        <w:gridCol w:w="1658"/>
        <w:gridCol w:w="1919"/>
      </w:tblGrid>
      <w:tr w:rsidR="00651286" w:rsidRPr="00651286" w14:paraId="793DDFE5" w14:textId="77777777" w:rsidTr="00C854DC">
        <w:tc>
          <w:tcPr>
            <w:tcW w:w="1975" w:type="dxa"/>
            <w:shd w:val="clear" w:color="auto" w:fill="2F5496" w:themeFill="accent1" w:themeFillShade="BF"/>
          </w:tcPr>
          <w:p w14:paraId="1E9F0546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7380" w:type="dxa"/>
            <w:shd w:val="clear" w:color="auto" w:fill="2F5496" w:themeFill="accent1" w:themeFillShade="BF"/>
          </w:tcPr>
          <w:p w14:paraId="559A0BCC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Point</w:t>
            </w:r>
          </w:p>
        </w:tc>
        <w:tc>
          <w:tcPr>
            <w:tcW w:w="1744" w:type="dxa"/>
            <w:shd w:val="clear" w:color="auto" w:fill="2F5496" w:themeFill="accent1" w:themeFillShade="BF"/>
          </w:tcPr>
          <w:p w14:paraId="11C361E3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2216" w:type="dxa"/>
            <w:shd w:val="clear" w:color="auto" w:fill="2F5496" w:themeFill="accent1" w:themeFillShade="BF"/>
          </w:tcPr>
          <w:p w14:paraId="0F8EED9A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Deadline</w:t>
            </w:r>
          </w:p>
        </w:tc>
      </w:tr>
      <w:tr w:rsidR="00651286" w:rsidRPr="00651286" w14:paraId="169591BD" w14:textId="77777777" w:rsidTr="00C854DC">
        <w:tc>
          <w:tcPr>
            <w:tcW w:w="1975" w:type="dxa"/>
            <w:vMerge w:val="restart"/>
          </w:tcPr>
          <w:p w14:paraId="55C341C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09883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7AC28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4812E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C84ED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428F4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3DC9B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sz w:val="20"/>
                <w:szCs w:val="20"/>
              </w:rPr>
              <w:t>2019 Work Plan</w:t>
            </w:r>
          </w:p>
          <w:p w14:paraId="50B2D01E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F65F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694CC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71A5E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B7433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57927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5C8F3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AEED0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887EA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2FAA5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64F39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A4241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C9DE5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0B59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603DF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0F425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Micro </w:t>
            </w:r>
            <w:proofErr w:type="gramStart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assurance:</w:t>
            </w:r>
            <w:proofErr w:type="gramEnd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vérifier avec CNAS, ICMIF, </w:t>
            </w:r>
            <w:proofErr w:type="spellStart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Microinsurance</w:t>
            </w:r>
            <w:proofErr w:type="spellEnd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Network ce qui existe/est faisable sur le Niger</w:t>
            </w:r>
          </w:p>
        </w:tc>
        <w:tc>
          <w:tcPr>
            <w:tcW w:w="1744" w:type="dxa"/>
          </w:tcPr>
          <w:p w14:paraId="717237D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Stefanie</w:t>
            </w:r>
          </w:p>
        </w:tc>
        <w:tc>
          <w:tcPr>
            <w:tcW w:w="2216" w:type="dxa"/>
          </w:tcPr>
          <w:p w14:paraId="45D4FA5D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Avant la fin avril</w:t>
            </w:r>
          </w:p>
        </w:tc>
      </w:tr>
      <w:tr w:rsidR="00651286" w:rsidRPr="00651286" w14:paraId="399E80C7" w14:textId="77777777" w:rsidTr="00C854DC">
        <w:tc>
          <w:tcPr>
            <w:tcW w:w="1975" w:type="dxa"/>
            <w:vMerge/>
          </w:tcPr>
          <w:p w14:paraId="0304ABD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654243E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Partager la stratégie du PNUD en matière de micro assurance : son positionnement, ses objectifs, son rôle </w:t>
            </w:r>
          </w:p>
        </w:tc>
        <w:tc>
          <w:tcPr>
            <w:tcW w:w="1744" w:type="dxa"/>
          </w:tcPr>
          <w:p w14:paraId="3A34EAF7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Stefanie</w:t>
            </w:r>
          </w:p>
        </w:tc>
        <w:tc>
          <w:tcPr>
            <w:tcW w:w="2216" w:type="dxa"/>
          </w:tcPr>
          <w:p w14:paraId="1B26C69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Avant la fin avril</w:t>
            </w:r>
          </w:p>
        </w:tc>
      </w:tr>
      <w:tr w:rsidR="00651286" w:rsidRPr="00651286" w14:paraId="4D218A12" w14:textId="77777777" w:rsidTr="00C854DC">
        <w:tc>
          <w:tcPr>
            <w:tcW w:w="1975" w:type="dxa"/>
            <w:vMerge/>
          </w:tcPr>
          <w:p w14:paraId="10BF22EB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0FAB55E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Voir la possibilité de participer à la SAM – </w:t>
            </w:r>
            <w:hyperlink r:id="rId6" w:history="1">
              <w:r w:rsidRPr="0065128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Semaine Africaine de la Microfinance</w:t>
              </w:r>
            </w:hyperlink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qui devrait avoir lieu au Burkina Faso </w:t>
            </w:r>
          </w:p>
        </w:tc>
        <w:tc>
          <w:tcPr>
            <w:tcW w:w="1744" w:type="dxa"/>
          </w:tcPr>
          <w:p w14:paraId="3B0C6D0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6BF1F5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3405D2CE" w14:textId="77777777" w:rsidTr="00C854DC">
        <w:tc>
          <w:tcPr>
            <w:tcW w:w="1975" w:type="dxa"/>
            <w:vMerge/>
          </w:tcPr>
          <w:p w14:paraId="1ABAA2F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050BA49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Organiser une rencontre avec l’agence de l’énergie solaire afin de voir la possibilité de soutien dans les communes de convergence </w:t>
            </w:r>
          </w:p>
        </w:tc>
        <w:tc>
          <w:tcPr>
            <w:tcW w:w="1744" w:type="dxa"/>
          </w:tcPr>
          <w:p w14:paraId="2AB534A8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04B1CCA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2838A9C7" w14:textId="77777777" w:rsidTr="00C854DC">
        <w:tc>
          <w:tcPr>
            <w:tcW w:w="1975" w:type="dxa"/>
            <w:vMerge/>
          </w:tcPr>
          <w:p w14:paraId="5E74E70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45CFC83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Réfléchir à comment soutenir l’</w:t>
            </w:r>
            <w:proofErr w:type="spellStart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électronisation</w:t>
            </w:r>
            <w:proofErr w:type="spellEnd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des données collectées par la Protection Civile – voir l’appui que peuvent offrir également le FNUAP et la Banque Mondiale (achat de tablettes ?) </w:t>
            </w:r>
          </w:p>
        </w:tc>
        <w:tc>
          <w:tcPr>
            <w:tcW w:w="1744" w:type="dxa"/>
          </w:tcPr>
          <w:p w14:paraId="4F41BE0D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2824D629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3B349FB9" w14:textId="77777777" w:rsidTr="00C854DC">
        <w:tc>
          <w:tcPr>
            <w:tcW w:w="1975" w:type="dxa"/>
            <w:vMerge/>
          </w:tcPr>
          <w:p w14:paraId="20D60AB1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4E64E22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Prévoir en 2019/2020 une Formation de formateurs au Niger – en ciblant quelques agents de la protection civile également </w:t>
            </w:r>
          </w:p>
        </w:tc>
        <w:tc>
          <w:tcPr>
            <w:tcW w:w="1744" w:type="dxa"/>
          </w:tcPr>
          <w:p w14:paraId="0F4487FA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53212FD3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5B397B27" w14:textId="77777777" w:rsidTr="00C854DC">
        <w:tc>
          <w:tcPr>
            <w:tcW w:w="1975" w:type="dxa"/>
            <w:vMerge/>
          </w:tcPr>
          <w:p w14:paraId="6CE04F8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7457C748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Identifier le point focal HACT au sein du bureau pays et prévoir/accompagner la micro-évaluation du Ministère de l’Action Humanitaire </w:t>
            </w:r>
          </w:p>
        </w:tc>
        <w:tc>
          <w:tcPr>
            <w:tcW w:w="1744" w:type="dxa"/>
          </w:tcPr>
          <w:p w14:paraId="6684FBE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16BFE82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08B56841" w14:textId="77777777" w:rsidTr="00C854DC">
        <w:tc>
          <w:tcPr>
            <w:tcW w:w="1975" w:type="dxa"/>
            <w:vMerge/>
          </w:tcPr>
          <w:p w14:paraId="47366B59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0DC1098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Partager la note conceptuelle et quelques informations concernant l’application mobile développé par Microsoft dans les Caraïbes  </w:t>
            </w:r>
          </w:p>
        </w:tc>
        <w:tc>
          <w:tcPr>
            <w:tcW w:w="1744" w:type="dxa"/>
          </w:tcPr>
          <w:p w14:paraId="4198465B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Stefanie </w:t>
            </w:r>
          </w:p>
        </w:tc>
        <w:tc>
          <w:tcPr>
            <w:tcW w:w="2216" w:type="dxa"/>
          </w:tcPr>
          <w:p w14:paraId="09CFECA0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Avant la fin avril</w:t>
            </w:r>
          </w:p>
        </w:tc>
      </w:tr>
      <w:tr w:rsidR="00651286" w:rsidRPr="00651286" w14:paraId="70571C42" w14:textId="77777777" w:rsidTr="00C854DC">
        <w:tc>
          <w:tcPr>
            <w:tcW w:w="1975" w:type="dxa"/>
            <w:vMerge/>
          </w:tcPr>
          <w:p w14:paraId="326D4CF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262DB6C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Application mobile : voir comment intégrer des photos pour le suivi du programme de reconstruction </w:t>
            </w:r>
          </w:p>
        </w:tc>
        <w:tc>
          <w:tcPr>
            <w:tcW w:w="1744" w:type="dxa"/>
          </w:tcPr>
          <w:p w14:paraId="42C8F7F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32DD56C9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2D68D718" w14:textId="77777777" w:rsidTr="00C854DC">
        <w:tc>
          <w:tcPr>
            <w:tcW w:w="1975" w:type="dxa"/>
            <w:vMerge/>
          </w:tcPr>
          <w:p w14:paraId="58E3F581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3C4E3480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Partager avec Stefanie la Stratégie Nationale pour le relèvement et quelques produits phares de la Phase I</w:t>
            </w:r>
          </w:p>
        </w:tc>
        <w:tc>
          <w:tcPr>
            <w:tcW w:w="1744" w:type="dxa"/>
          </w:tcPr>
          <w:p w14:paraId="1F40D5CA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Diawoye</w:t>
            </w:r>
          </w:p>
        </w:tc>
        <w:tc>
          <w:tcPr>
            <w:tcW w:w="2216" w:type="dxa"/>
          </w:tcPr>
          <w:p w14:paraId="15565E3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Avant la fin avril</w:t>
            </w:r>
          </w:p>
        </w:tc>
      </w:tr>
      <w:tr w:rsidR="00651286" w:rsidRPr="00651286" w14:paraId="3BE328BF" w14:textId="77777777" w:rsidTr="00C854DC">
        <w:tc>
          <w:tcPr>
            <w:tcW w:w="1975" w:type="dxa"/>
            <w:vMerge w:val="restart"/>
            <w:shd w:val="clear" w:color="auto" w:fill="DEEAF6" w:themeFill="accent5" w:themeFillTint="33"/>
          </w:tcPr>
          <w:p w14:paraId="2A108445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6AF08A8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3EBFAB6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EFDDE40" w14:textId="77777777" w:rsidR="00651286" w:rsidRPr="00651286" w:rsidRDefault="00651286" w:rsidP="00794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sz w:val="20"/>
                <w:szCs w:val="20"/>
              </w:rPr>
              <w:t>PDNA Methodology</w:t>
            </w:r>
          </w:p>
        </w:tc>
        <w:tc>
          <w:tcPr>
            <w:tcW w:w="7380" w:type="dxa"/>
            <w:shd w:val="clear" w:color="auto" w:fill="DEEAF6" w:themeFill="accent5" w:themeFillTint="33"/>
          </w:tcPr>
          <w:p w14:paraId="4C4417B0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Partager des exemples de PDNA faits dans le cadre de sécheresses 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6B4D9DF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  <w:shd w:val="clear" w:color="auto" w:fill="DEEAF6" w:themeFill="accent5" w:themeFillTint="33"/>
          </w:tcPr>
          <w:p w14:paraId="1BB2F80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33A5232E" w14:textId="77777777" w:rsidTr="00C854DC">
        <w:tc>
          <w:tcPr>
            <w:tcW w:w="1975" w:type="dxa"/>
            <w:vMerge/>
            <w:shd w:val="clear" w:color="auto" w:fill="DEEAF6" w:themeFill="accent5" w:themeFillTint="33"/>
          </w:tcPr>
          <w:p w14:paraId="149F044D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  <w:shd w:val="clear" w:color="auto" w:fill="DEEAF6" w:themeFill="accent5" w:themeFillTint="33"/>
          </w:tcPr>
          <w:p w14:paraId="3374BA71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Partager ces derniers avec la contrepartie nationale et identifier l’intérêt de faire un tel PDNA au niveau du Niger 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20214AE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  <w:shd w:val="clear" w:color="auto" w:fill="DEEAF6" w:themeFill="accent5" w:themeFillTint="33"/>
          </w:tcPr>
          <w:p w14:paraId="38446A0C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49B0FD5C" w14:textId="77777777" w:rsidTr="00C854DC">
        <w:tc>
          <w:tcPr>
            <w:tcW w:w="1975" w:type="dxa"/>
            <w:vMerge/>
            <w:shd w:val="clear" w:color="auto" w:fill="DEEAF6" w:themeFill="accent5" w:themeFillTint="33"/>
          </w:tcPr>
          <w:p w14:paraId="614366DD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  <w:shd w:val="clear" w:color="auto" w:fill="DEEAF6" w:themeFill="accent5" w:themeFillTint="33"/>
          </w:tcPr>
          <w:p w14:paraId="71CE0D3D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Partager les informations existantes en termes d’utilisation d’imagerie satellitaire 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08DEDF0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Stefanie</w:t>
            </w:r>
          </w:p>
        </w:tc>
        <w:tc>
          <w:tcPr>
            <w:tcW w:w="2216" w:type="dxa"/>
            <w:shd w:val="clear" w:color="auto" w:fill="DEEAF6" w:themeFill="accent5" w:themeFillTint="33"/>
          </w:tcPr>
          <w:p w14:paraId="691E47A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Avant la fin avril</w:t>
            </w:r>
          </w:p>
        </w:tc>
      </w:tr>
      <w:tr w:rsidR="00651286" w:rsidRPr="00651286" w14:paraId="39CA6812" w14:textId="77777777" w:rsidTr="00C854DC">
        <w:tc>
          <w:tcPr>
            <w:tcW w:w="1975" w:type="dxa"/>
            <w:vMerge w:val="restart"/>
          </w:tcPr>
          <w:p w14:paraId="25F484C5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09644F2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FDFC76B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6F1FCA3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75A57F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85AE064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15F1B58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8A8CF97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sz w:val="20"/>
                <w:szCs w:val="20"/>
              </w:rPr>
              <w:t>Partnerships/Synergies</w:t>
            </w:r>
          </w:p>
        </w:tc>
        <w:tc>
          <w:tcPr>
            <w:tcW w:w="7380" w:type="dxa"/>
          </w:tcPr>
          <w:p w14:paraId="7F30BEC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Partager la stratégie luxembourgeoise sur l’aide au développement et Programme Indicatif de Coopération (PIC) Niger afin de se positionner dans le prochain PIC</w:t>
            </w:r>
          </w:p>
        </w:tc>
        <w:tc>
          <w:tcPr>
            <w:tcW w:w="1744" w:type="dxa"/>
          </w:tcPr>
          <w:p w14:paraId="0C13B9EE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BD086A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753AF716" w14:textId="77777777" w:rsidTr="00C854DC">
        <w:tc>
          <w:tcPr>
            <w:tcW w:w="1975" w:type="dxa"/>
            <w:vMerge/>
          </w:tcPr>
          <w:p w14:paraId="2507456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22FDF8C7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Partager l’étude faite sur la micro assurance / transfert de risque faite par la Banque Mondiale</w:t>
            </w:r>
          </w:p>
        </w:tc>
        <w:tc>
          <w:tcPr>
            <w:tcW w:w="1744" w:type="dxa"/>
          </w:tcPr>
          <w:p w14:paraId="043DAFE8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Stefanie</w:t>
            </w:r>
          </w:p>
        </w:tc>
        <w:tc>
          <w:tcPr>
            <w:tcW w:w="2216" w:type="dxa"/>
          </w:tcPr>
          <w:p w14:paraId="4D9200F1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Avant la fin avril</w:t>
            </w:r>
          </w:p>
        </w:tc>
      </w:tr>
      <w:tr w:rsidR="00651286" w:rsidRPr="00651286" w14:paraId="0FDE6B42" w14:textId="77777777" w:rsidTr="00C854DC">
        <w:tc>
          <w:tcPr>
            <w:tcW w:w="1975" w:type="dxa"/>
            <w:vMerge/>
          </w:tcPr>
          <w:p w14:paraId="7226098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3847F6FA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Voir la possibilité d’une visite d’échange au Burkina Faso pour leurs projet WARRANTAGE (combiner avec la SAM 2019) </w:t>
            </w:r>
          </w:p>
        </w:tc>
        <w:tc>
          <w:tcPr>
            <w:tcW w:w="1744" w:type="dxa"/>
          </w:tcPr>
          <w:p w14:paraId="3BDAAF8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4F8DD98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2902C359" w14:textId="77777777" w:rsidTr="00C854DC">
        <w:tc>
          <w:tcPr>
            <w:tcW w:w="1975" w:type="dxa"/>
            <w:vMerge/>
          </w:tcPr>
          <w:p w14:paraId="62C56F5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4B4CFE19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Voir s’il existe des synergies avec le projet </w:t>
            </w:r>
            <w:hyperlink r:id="rId7" w:history="1">
              <w:r w:rsidRPr="0065128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NIG/017</w:t>
              </w:r>
            </w:hyperlink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coopération luxembourgeoise, mentionné par le représentant </w:t>
            </w:r>
          </w:p>
        </w:tc>
        <w:tc>
          <w:tcPr>
            <w:tcW w:w="1744" w:type="dxa"/>
          </w:tcPr>
          <w:p w14:paraId="63BCE65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0DD689A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1A492A28" w14:textId="77777777" w:rsidTr="00C854DC">
        <w:tc>
          <w:tcPr>
            <w:tcW w:w="1975" w:type="dxa"/>
            <w:vMerge/>
          </w:tcPr>
          <w:p w14:paraId="6A0CFA48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0EEA8AE7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Contacter l’AFD et la Coopération danoise pour connaitre leurs projets résilience </w:t>
            </w:r>
          </w:p>
        </w:tc>
        <w:tc>
          <w:tcPr>
            <w:tcW w:w="1744" w:type="dxa"/>
          </w:tcPr>
          <w:p w14:paraId="56DF853A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5806DC9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41873DB9" w14:textId="77777777" w:rsidTr="00C854DC">
        <w:tc>
          <w:tcPr>
            <w:tcW w:w="1975" w:type="dxa"/>
            <w:vMerge w:val="restart"/>
            <w:shd w:val="clear" w:color="auto" w:fill="DEEAF6" w:themeFill="accent5" w:themeFillTint="33"/>
          </w:tcPr>
          <w:p w14:paraId="03E2F4D6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4D760FA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5B0293E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22B01DF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sz w:val="20"/>
                <w:szCs w:val="20"/>
              </w:rPr>
              <w:t>Communication/Knowledge Management/Good practices from other countries</w:t>
            </w:r>
          </w:p>
        </w:tc>
        <w:tc>
          <w:tcPr>
            <w:tcW w:w="7380" w:type="dxa"/>
            <w:shd w:val="clear" w:color="auto" w:fill="DEEAF6" w:themeFill="accent5" w:themeFillTint="33"/>
          </w:tcPr>
          <w:p w14:paraId="16F3936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Communiquer plus régulièrement avec le bailleur à travers la création d’une mini-newsletter sur les activités écoulées et les priorités à venir, tous les 3 mois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196A32D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  <w:shd w:val="clear" w:color="auto" w:fill="DEEAF6" w:themeFill="accent5" w:themeFillTint="33"/>
          </w:tcPr>
          <w:p w14:paraId="1A2CBE2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1A7D9AFE" w14:textId="77777777" w:rsidTr="00C854DC">
        <w:tc>
          <w:tcPr>
            <w:tcW w:w="1975" w:type="dxa"/>
            <w:vMerge/>
            <w:shd w:val="clear" w:color="auto" w:fill="DEEAF6" w:themeFill="accent5" w:themeFillTint="33"/>
          </w:tcPr>
          <w:p w14:paraId="7C57C97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  <w:shd w:val="clear" w:color="auto" w:fill="DEEAF6" w:themeFill="accent5" w:themeFillTint="33"/>
          </w:tcPr>
          <w:p w14:paraId="4ED872E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Idées de blogs :</w:t>
            </w:r>
          </w:p>
          <w:p w14:paraId="60BC18CC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OSV/SCAPRU dans les localités</w:t>
            </w:r>
          </w:p>
          <w:p w14:paraId="2B103C01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Le relèvement après les inondations</w:t>
            </w:r>
          </w:p>
          <w:p w14:paraId="28DAA970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Produit de la phase I : maraichage et savonnerie – cibler des entretiens courts avec des femmes bénéficiaires</w:t>
            </w:r>
          </w:p>
          <w:p w14:paraId="67A2F491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Adaptation au changement climatique et relèvement : Utilisation des panneaux solaires par les femmes </w:t>
            </w:r>
          </w:p>
          <w:p w14:paraId="718D586E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Revolving </w:t>
            </w:r>
            <w:proofErr w:type="spellStart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fund</w:t>
            </w:r>
            <w:proofErr w:type="spellEnd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 : 1000 femmes appuyées – voir avec Ali les témoignages existants et les utiliser sur le site du PNUD, voir journaux nationaux ou radios communautaires </w:t>
            </w:r>
          </w:p>
          <w:p w14:paraId="56867A88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Blog sur l’importance des données de base pour identifier les effets, impacts, besoins des populations – entretien avec la Protection Civile </w:t>
            </w:r>
          </w:p>
          <w:p w14:paraId="001795F1" w14:textId="77777777" w:rsidR="00651286" w:rsidRPr="00651286" w:rsidRDefault="00651286" w:rsidP="006512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Recensement/dispositif/accessibilité des personnes handicapées en cas de crise – évacuation : importance d’inclure les personnes vulnérables dans les plans de contingences et programmes de relèvement 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23DFEC8F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  <w:shd w:val="clear" w:color="auto" w:fill="DEEAF6" w:themeFill="accent5" w:themeFillTint="33"/>
          </w:tcPr>
          <w:p w14:paraId="6082F1A8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1286" w:rsidRPr="00651286" w14:paraId="4B7C9B99" w14:textId="77777777" w:rsidTr="00C854DC">
        <w:tc>
          <w:tcPr>
            <w:tcW w:w="1975" w:type="dxa"/>
            <w:vMerge w:val="restart"/>
          </w:tcPr>
          <w:p w14:paraId="5FAFB765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731B9593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286">
              <w:rPr>
                <w:rFonts w:ascii="Arial" w:hAnsi="Arial" w:cs="Arial"/>
                <w:b/>
                <w:sz w:val="20"/>
                <w:szCs w:val="20"/>
              </w:rPr>
              <w:t>World Reconstruction Conference</w:t>
            </w:r>
          </w:p>
          <w:p w14:paraId="04461A39" w14:textId="77777777" w:rsidR="00651286" w:rsidRPr="00651286" w:rsidRDefault="00651286" w:rsidP="0079495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65128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https://www.gfdrr.org/en/WRC4</w:t>
              </w:r>
            </w:hyperlink>
            <w:r w:rsidRPr="00651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068ACE4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Partager les notes conceptuelles et background </w:t>
            </w:r>
            <w:proofErr w:type="spellStart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papers</w:t>
            </w:r>
            <w:proofErr w:type="spellEnd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4eme conférence – riches en informations et liens vers publications récentes </w:t>
            </w:r>
          </w:p>
        </w:tc>
        <w:tc>
          <w:tcPr>
            <w:tcW w:w="1744" w:type="dxa"/>
          </w:tcPr>
          <w:p w14:paraId="1ABD5270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Stefanie</w:t>
            </w:r>
          </w:p>
        </w:tc>
        <w:tc>
          <w:tcPr>
            <w:tcW w:w="2216" w:type="dxa"/>
          </w:tcPr>
          <w:p w14:paraId="6C10619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>mi</w:t>
            </w:r>
            <w:proofErr w:type="gramEnd"/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-mai </w:t>
            </w:r>
          </w:p>
        </w:tc>
      </w:tr>
      <w:tr w:rsidR="00651286" w:rsidRPr="00651286" w14:paraId="55E8BAE1" w14:textId="77777777" w:rsidTr="00C854DC">
        <w:tc>
          <w:tcPr>
            <w:tcW w:w="1975" w:type="dxa"/>
            <w:vMerge/>
          </w:tcPr>
          <w:p w14:paraId="066A09D6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0" w:type="dxa"/>
          </w:tcPr>
          <w:p w14:paraId="2D0814A2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Identifier qui participera à la </w:t>
            </w:r>
            <w:hyperlink r:id="rId9" w:history="1">
              <w:r w:rsidRPr="0065128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GPDRR</w:t>
              </w:r>
            </w:hyperlink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et étendre l’invitation pour la </w:t>
            </w:r>
            <w:hyperlink r:id="rId10" w:history="1">
              <w:r w:rsidRPr="0065128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WRC4</w:t>
              </w:r>
            </w:hyperlink>
            <w:r w:rsidRPr="00651286">
              <w:rPr>
                <w:rFonts w:ascii="Arial" w:hAnsi="Arial" w:cs="Arial"/>
                <w:sz w:val="20"/>
                <w:szCs w:val="20"/>
                <w:lang w:val="fr-FR"/>
              </w:rPr>
              <w:t xml:space="preserve"> – le projet couvrirait uniquement 3 nuits (DSA Geneve + 369$) </w:t>
            </w:r>
          </w:p>
        </w:tc>
        <w:tc>
          <w:tcPr>
            <w:tcW w:w="1744" w:type="dxa"/>
          </w:tcPr>
          <w:p w14:paraId="2A0C660A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38B369A5" w14:textId="77777777" w:rsidR="00651286" w:rsidRPr="00651286" w:rsidRDefault="00651286" w:rsidP="00794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C561EB5" w14:textId="77777777" w:rsidR="00651286" w:rsidRPr="00651286" w:rsidRDefault="00651286" w:rsidP="00651286">
      <w:pPr>
        <w:rPr>
          <w:rFonts w:ascii="Arial" w:hAnsi="Arial" w:cs="Arial"/>
          <w:sz w:val="20"/>
          <w:szCs w:val="20"/>
          <w:lang w:val="fr-FR"/>
        </w:rPr>
      </w:pPr>
    </w:p>
    <w:p w14:paraId="6EE4DED7" w14:textId="77777777" w:rsidR="00651286" w:rsidRPr="00651286" w:rsidRDefault="00651286" w:rsidP="00651286">
      <w:pPr>
        <w:rPr>
          <w:rFonts w:ascii="Arial" w:hAnsi="Arial" w:cs="Arial"/>
          <w:sz w:val="20"/>
          <w:szCs w:val="20"/>
          <w:lang w:val="fr-FR"/>
        </w:rPr>
      </w:pPr>
    </w:p>
    <w:p w14:paraId="0FBF7970" w14:textId="60E7B1B6" w:rsidR="005F7CE0" w:rsidRPr="00651286" w:rsidRDefault="005F7CE0">
      <w:pPr>
        <w:rPr>
          <w:lang w:val="fr-FR"/>
        </w:rPr>
      </w:pPr>
    </w:p>
    <w:sectPr w:rsidR="005F7CE0" w:rsidRPr="00651286" w:rsidSect="0065128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CCB"/>
    <w:multiLevelType w:val="hybridMultilevel"/>
    <w:tmpl w:val="78024C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15666"/>
    <w:multiLevelType w:val="hybridMultilevel"/>
    <w:tmpl w:val="84F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4CB"/>
    <w:multiLevelType w:val="hybridMultilevel"/>
    <w:tmpl w:val="B846E0E6"/>
    <w:lvl w:ilvl="0" w:tplc="2D4E6D0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2F"/>
    <w:rsid w:val="000A4472"/>
    <w:rsid w:val="00372657"/>
    <w:rsid w:val="003D36DA"/>
    <w:rsid w:val="005F7CE0"/>
    <w:rsid w:val="00651286"/>
    <w:rsid w:val="006F3BFE"/>
    <w:rsid w:val="00832B06"/>
    <w:rsid w:val="0085630B"/>
    <w:rsid w:val="008C5A93"/>
    <w:rsid w:val="00A92FD0"/>
    <w:rsid w:val="00B07D2F"/>
    <w:rsid w:val="00B341A9"/>
    <w:rsid w:val="00C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C169"/>
  <w15:chartTrackingRefBased/>
  <w15:docId w15:val="{107FA90E-56AC-4F05-8A02-4D15BBD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D2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2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2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drr.org/en/WRC4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luxdev.lu/fr/activities/project/NIG/017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www.ada-microfinance.org/fr/evenements/semaine-africaine-microfinan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gfdrr.org/en/WR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dr.org/conference/2019/globalplatform/hom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2019-08-21T18:00:00+00:00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2019-03-31T04:00:00+00:00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1437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00108032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H71</TermName>
          <TermId xmlns="http://schemas.microsoft.com/office/infopath/2007/PartnerControls">66ea3b2c-34bf-4032-a209-5aef9f05bd01</TermId>
        </TermInfo>
      </Terms>
    </gc6531b704974d528487414686b72f6f>
    <_dlc_DocId xmlns="f1161f5b-24a3-4c2d-bc81-44cb9325e8ee">ATLASPDC-4-103489</_dlc_DocId>
    <_dlc_DocIdUrl xmlns="f1161f5b-24a3-4c2d-bc81-44cb9325e8ee">
      <Url>https://info.undp.org/docs/pdc/_layouts/DocIdRedir.aspx?ID=ATLASPDC-4-103489</Url>
      <Description>ATLASPDC-4-103489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2C27AB7-637E-4423-9527-7D0D9A18AE21}"/>
</file>

<file path=customXml/itemProps2.xml><?xml version="1.0" encoding="utf-8"?>
<ds:datastoreItem xmlns:ds="http://schemas.openxmlformats.org/officeDocument/2006/customXml" ds:itemID="{B6EC0FD0-0809-4269-ADC1-23A46B6A1B8C}"/>
</file>

<file path=customXml/itemProps3.xml><?xml version="1.0" encoding="utf-8"?>
<ds:datastoreItem xmlns:ds="http://schemas.openxmlformats.org/officeDocument/2006/customXml" ds:itemID="{F6DD57C9-3935-45E9-B702-360BC4163B1D}"/>
</file>

<file path=customXml/itemProps4.xml><?xml version="1.0" encoding="utf-8"?>
<ds:datastoreItem xmlns:ds="http://schemas.openxmlformats.org/officeDocument/2006/customXml" ds:itemID="{2054BC10-7624-41DB-B9D5-96BACDA56EE5}"/>
</file>

<file path=customXml/itemProps5.xml><?xml version="1.0" encoding="utf-8"?>
<ds:datastoreItem xmlns:ds="http://schemas.openxmlformats.org/officeDocument/2006/customXml" ds:itemID="{95072E9B-0138-47EC-96FB-0F0EFD006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report Niger March 2019</dc:title>
  <dc:subject/>
  <dc:creator>Stefanie Afonso</dc:creator>
  <cp:keywords/>
  <dc:description/>
  <cp:lastModifiedBy>Stefanie Afonso</cp:lastModifiedBy>
  <cp:revision>12</cp:revision>
  <dcterms:created xsi:type="dcterms:W3CDTF">2019-04-05T15:04:00Z</dcterms:created>
  <dcterms:modified xsi:type="dcterms:W3CDTF">2019-04-05T16:04:00Z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1437;#H71|66ea3b2c-34bf-4032-a209-5aef9f05bd01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9ff33222-a6c1-40a1-ab9b-cde7f31c4a3e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